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205" w:rsidRDefault="006F0205" w:rsidP="006F0205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jc w:val="center"/>
        <w:rPr>
          <w:b/>
          <w:bCs/>
          <w:color w:val="252525"/>
          <w:sz w:val="28"/>
          <w:szCs w:val="28"/>
        </w:rPr>
      </w:pPr>
      <w:bookmarkStart w:id="0" w:name="_GoBack"/>
      <w:r w:rsidRPr="004D03F7">
        <w:rPr>
          <w:b/>
          <w:bCs/>
          <w:color w:val="252525"/>
          <w:sz w:val="28"/>
          <w:szCs w:val="28"/>
        </w:rPr>
        <w:t>Сумма теологии</w:t>
      </w:r>
    </w:p>
    <w:p w:rsidR="00CB1F29" w:rsidRPr="004D03F7" w:rsidRDefault="00CB1F29" w:rsidP="00CB1F29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rPr>
          <w:color w:val="252525"/>
          <w:sz w:val="28"/>
          <w:szCs w:val="28"/>
        </w:rPr>
      </w:pPr>
      <w:r w:rsidRPr="004D03F7">
        <w:rPr>
          <w:b/>
          <w:bCs/>
          <w:color w:val="252525"/>
          <w:sz w:val="28"/>
          <w:szCs w:val="28"/>
        </w:rPr>
        <w:t xml:space="preserve">Сумма теологии – </w:t>
      </w:r>
      <w:r w:rsidRPr="004D03F7">
        <w:rPr>
          <w:bCs/>
          <w:color w:val="252525"/>
          <w:sz w:val="28"/>
          <w:szCs w:val="28"/>
        </w:rPr>
        <w:t>произведение Фомы Аквинского</w:t>
      </w:r>
      <w:r w:rsidRPr="004D03F7">
        <w:rPr>
          <w:b/>
          <w:bCs/>
          <w:color w:val="252525"/>
          <w:sz w:val="28"/>
          <w:szCs w:val="28"/>
        </w:rPr>
        <w:t xml:space="preserve">. </w:t>
      </w:r>
      <w:r w:rsidRPr="004D03F7">
        <w:rPr>
          <w:bCs/>
          <w:color w:val="252525"/>
          <w:sz w:val="28"/>
          <w:szCs w:val="28"/>
        </w:rPr>
        <w:t xml:space="preserve">Написано в Риме, Париже и </w:t>
      </w:r>
      <w:r w:rsidR="004D03F7" w:rsidRPr="004D03F7">
        <w:rPr>
          <w:bCs/>
          <w:color w:val="252525"/>
          <w:sz w:val="28"/>
          <w:szCs w:val="28"/>
        </w:rPr>
        <w:t>Неаполе</w:t>
      </w:r>
      <w:r w:rsidRPr="004D03F7">
        <w:rPr>
          <w:bCs/>
          <w:color w:val="252525"/>
          <w:sz w:val="28"/>
          <w:szCs w:val="28"/>
        </w:rPr>
        <w:t xml:space="preserve"> в 1265 – 1273 году.</w:t>
      </w:r>
      <w:r w:rsidRPr="004D03F7">
        <w:rPr>
          <w:b/>
          <w:bCs/>
          <w:color w:val="252525"/>
          <w:sz w:val="28"/>
          <w:szCs w:val="28"/>
        </w:rPr>
        <w:t xml:space="preserve"> </w:t>
      </w:r>
      <w:r w:rsidRPr="004D03F7">
        <w:rPr>
          <w:color w:val="252525"/>
          <w:sz w:val="28"/>
          <w:szCs w:val="28"/>
        </w:rPr>
        <w:t>Входит в число классических философских и богословских трудов, считается одним из образцов ср</w:t>
      </w:r>
      <w:r w:rsidR="008F1D99" w:rsidRPr="004D03F7">
        <w:rPr>
          <w:color w:val="252525"/>
          <w:sz w:val="28"/>
          <w:szCs w:val="28"/>
        </w:rPr>
        <w:t>едневековой европейской мысли.</w:t>
      </w:r>
    </w:p>
    <w:p w:rsidR="00CB1F29" w:rsidRPr="004D03F7" w:rsidRDefault="00CB1F29" w:rsidP="008F1D99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rPr>
          <w:color w:val="252525"/>
          <w:sz w:val="28"/>
          <w:szCs w:val="28"/>
        </w:rPr>
      </w:pPr>
      <w:r w:rsidRPr="004D03F7">
        <w:rPr>
          <w:color w:val="252525"/>
          <w:sz w:val="28"/>
          <w:szCs w:val="28"/>
        </w:rPr>
        <w:t>«Сумма теологии» известна также изложенными там пятью доказ</w:t>
      </w:r>
      <w:r w:rsidR="008F1D99" w:rsidRPr="004D03F7">
        <w:rPr>
          <w:color w:val="252525"/>
          <w:sz w:val="28"/>
          <w:szCs w:val="28"/>
        </w:rPr>
        <w:t>ательствами существования Бога</w:t>
      </w:r>
      <w:r w:rsidRPr="004D03F7">
        <w:rPr>
          <w:color w:val="252525"/>
          <w:sz w:val="28"/>
          <w:szCs w:val="28"/>
        </w:rPr>
        <w:t>. По первоначальному своему замыслу Фома Аквинский полагал составить лишь «руководство для начинающих», в котором под одной обложкой было бы сосредоточено изложение и рассмотрение всех основных богословских учений своего времени. Фактически, теолог составил фундаментальный свод практически всех проблем христианского богословия на Западе, которые подверг скрупулёзному</w:t>
      </w:r>
      <w:r w:rsidRPr="004D03F7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4E736D" w:rsidRPr="004D03F7">
        <w:rPr>
          <w:sz w:val="28"/>
          <w:szCs w:val="28"/>
        </w:rPr>
        <w:fldChar w:fldCharType="begin"/>
      </w:r>
      <w:r w:rsidR="004E736D" w:rsidRPr="004D03F7">
        <w:rPr>
          <w:sz w:val="28"/>
          <w:szCs w:val="28"/>
        </w:rPr>
        <w:instrText>HYPERLINK "https://ru.wikipedia.org/wiki/%D0%A1%D1%85%D0%BE%D0%BB%D0%B0%D1%81%D1%82%D0%B8%D0%BA%D0%B0" \o "Схоластика"</w:instrText>
      </w:r>
      <w:r w:rsidR="004E736D" w:rsidRPr="004D03F7">
        <w:rPr>
          <w:sz w:val="28"/>
          <w:szCs w:val="28"/>
        </w:rPr>
        <w:fldChar w:fldCharType="separate"/>
      </w:r>
      <w:r w:rsidRPr="004D03F7">
        <w:rPr>
          <w:rStyle w:val="a4"/>
          <w:color w:val="000000" w:themeColor="text1"/>
          <w:sz w:val="28"/>
          <w:szCs w:val="28"/>
          <w:u w:val="none"/>
        </w:rPr>
        <w:t>схоластическому</w:t>
      </w:r>
      <w:r w:rsidR="004E736D" w:rsidRPr="004D03F7">
        <w:rPr>
          <w:sz w:val="28"/>
          <w:szCs w:val="28"/>
        </w:rPr>
        <w:fldChar w:fldCharType="end"/>
      </w:r>
      <w:r w:rsidRPr="004D03F7">
        <w:rPr>
          <w:color w:val="252525"/>
          <w:sz w:val="28"/>
          <w:szCs w:val="28"/>
        </w:rPr>
        <w:t>анализу</w:t>
      </w:r>
      <w:proofErr w:type="spellEnd"/>
      <w:r w:rsidRPr="004D03F7">
        <w:rPr>
          <w:color w:val="252525"/>
          <w:sz w:val="28"/>
          <w:szCs w:val="28"/>
        </w:rPr>
        <w:t xml:space="preserve">. На протяжении всей книги </w:t>
      </w:r>
      <w:proofErr w:type="spellStart"/>
      <w:r w:rsidRPr="004D03F7">
        <w:rPr>
          <w:color w:val="252525"/>
          <w:sz w:val="28"/>
          <w:szCs w:val="28"/>
        </w:rPr>
        <w:t>Аквинат</w:t>
      </w:r>
      <w:proofErr w:type="spellEnd"/>
      <w:r w:rsidRPr="004D03F7">
        <w:rPr>
          <w:color w:val="252525"/>
          <w:sz w:val="28"/>
          <w:szCs w:val="28"/>
        </w:rPr>
        <w:t xml:space="preserve"> неоднократно цитирует</w:t>
      </w:r>
      <w:r w:rsidRPr="004D03F7">
        <w:rPr>
          <w:rStyle w:val="apple-converted-space"/>
          <w:color w:val="252525"/>
          <w:sz w:val="28"/>
          <w:szCs w:val="28"/>
        </w:rPr>
        <w:t> </w:t>
      </w:r>
      <w:hyperlink r:id="rId5" w:tooltip="Августин Блаженный" w:history="1">
        <w:r w:rsidRPr="004D03F7">
          <w:rPr>
            <w:rStyle w:val="a4"/>
            <w:color w:val="000000" w:themeColor="text1"/>
            <w:sz w:val="28"/>
            <w:szCs w:val="28"/>
            <w:u w:val="none"/>
          </w:rPr>
          <w:t>Августина Блаженного</w:t>
        </w:r>
      </w:hyperlink>
      <w:r w:rsidRPr="004D03F7">
        <w:rPr>
          <w:color w:val="000000" w:themeColor="text1"/>
          <w:sz w:val="28"/>
          <w:szCs w:val="28"/>
        </w:rPr>
        <w:t>,</w:t>
      </w:r>
      <w:r w:rsidRPr="004D03F7">
        <w:rPr>
          <w:rStyle w:val="apple-converted-space"/>
          <w:color w:val="252525"/>
          <w:sz w:val="28"/>
          <w:szCs w:val="28"/>
        </w:rPr>
        <w:t> </w:t>
      </w:r>
      <w:hyperlink r:id="rId6" w:tooltip="Аристотель" w:history="1">
        <w:r w:rsidRPr="004D03F7">
          <w:rPr>
            <w:rStyle w:val="a4"/>
            <w:color w:val="000000" w:themeColor="text1"/>
            <w:sz w:val="28"/>
            <w:szCs w:val="28"/>
            <w:u w:val="none"/>
          </w:rPr>
          <w:t>Аристотеля</w:t>
        </w:r>
      </w:hyperlink>
      <w:r w:rsidRPr="004D03F7">
        <w:rPr>
          <w:rStyle w:val="apple-converted-space"/>
          <w:color w:val="252525"/>
          <w:sz w:val="28"/>
          <w:szCs w:val="28"/>
        </w:rPr>
        <w:t> </w:t>
      </w:r>
      <w:r w:rsidRPr="004D03F7">
        <w:rPr>
          <w:color w:val="252525"/>
          <w:sz w:val="28"/>
          <w:szCs w:val="28"/>
        </w:rPr>
        <w:t>и многих других христианских, еврейских, арабских и языческих мыслителей.</w:t>
      </w:r>
    </w:p>
    <w:p w:rsidR="008F1D99" w:rsidRPr="004D03F7" w:rsidRDefault="008F1D99" w:rsidP="008F1D99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rPr>
          <w:color w:val="252525"/>
          <w:sz w:val="28"/>
          <w:szCs w:val="28"/>
        </w:rPr>
      </w:pPr>
      <w:r w:rsidRPr="004D03F7">
        <w:rPr>
          <w:color w:val="252525"/>
          <w:sz w:val="28"/>
          <w:szCs w:val="28"/>
        </w:rPr>
        <w:t>Трактат стал очень популярен уже с первых его изданий. Благодаря его «целевой направленности» на широкую аудиторию студентов-богословов, количество сделанных в средние века «рукописных копий… едва ли поддается учёту».</w:t>
      </w:r>
    </w:p>
    <w:p w:rsidR="008F1D99" w:rsidRPr="004D03F7" w:rsidRDefault="008F1D99" w:rsidP="008F1D99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rPr>
          <w:color w:val="000000" w:themeColor="text1"/>
          <w:sz w:val="28"/>
          <w:szCs w:val="28"/>
        </w:rPr>
      </w:pPr>
      <w:r w:rsidRPr="004D03F7">
        <w:rPr>
          <w:color w:val="000000" w:themeColor="text1"/>
          <w:sz w:val="28"/>
          <w:szCs w:val="28"/>
        </w:rPr>
        <w:t>Первый книжный оттиск появился в</w:t>
      </w:r>
      <w:r w:rsidRPr="004D03F7">
        <w:rPr>
          <w:rStyle w:val="apple-converted-space"/>
          <w:color w:val="000000" w:themeColor="text1"/>
          <w:sz w:val="28"/>
          <w:szCs w:val="28"/>
        </w:rPr>
        <w:t> </w:t>
      </w:r>
      <w:hyperlink r:id="rId7" w:tooltip="1467 год" w:history="1">
        <w:r w:rsidRPr="004D03F7">
          <w:rPr>
            <w:rStyle w:val="a4"/>
            <w:color w:val="000000" w:themeColor="text1"/>
            <w:sz w:val="28"/>
            <w:szCs w:val="28"/>
            <w:u w:val="none"/>
          </w:rPr>
          <w:t>1467 году</w:t>
        </w:r>
      </w:hyperlink>
      <w:r w:rsidRPr="004D03F7">
        <w:rPr>
          <w:color w:val="000000" w:themeColor="text1"/>
          <w:sz w:val="28"/>
          <w:szCs w:val="28"/>
        </w:rPr>
        <w:t>, в городе</w:t>
      </w:r>
      <w:r w:rsidRPr="004D03F7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Майнц" w:history="1">
        <w:r w:rsidRPr="004D03F7">
          <w:rPr>
            <w:rStyle w:val="a4"/>
            <w:color w:val="000000" w:themeColor="text1"/>
            <w:sz w:val="28"/>
            <w:szCs w:val="28"/>
            <w:u w:val="none"/>
          </w:rPr>
          <w:t>Майнце</w:t>
        </w:r>
      </w:hyperlink>
      <w:r w:rsidRPr="004D03F7">
        <w:rPr>
          <w:color w:val="000000" w:themeColor="text1"/>
          <w:sz w:val="28"/>
          <w:szCs w:val="28"/>
        </w:rPr>
        <w:t>. Правда, издатель Петер Шеффер отпечатал не весь манускрипт, а лишь его часть, именуемую по традиции «</w:t>
      </w:r>
      <w:proofErr w:type="spellStart"/>
      <w:r w:rsidRPr="004D03F7">
        <w:rPr>
          <w:color w:val="000000" w:themeColor="text1"/>
          <w:sz w:val="28"/>
          <w:szCs w:val="28"/>
        </w:rPr>
        <w:t>Secunda</w:t>
      </w:r>
      <w:proofErr w:type="spellEnd"/>
      <w:r w:rsidRPr="004D03F7">
        <w:rPr>
          <w:color w:val="000000" w:themeColor="text1"/>
          <w:sz w:val="28"/>
          <w:szCs w:val="28"/>
        </w:rPr>
        <w:t xml:space="preserve"> </w:t>
      </w:r>
      <w:proofErr w:type="spellStart"/>
      <w:r w:rsidRPr="004D03F7">
        <w:rPr>
          <w:color w:val="000000" w:themeColor="text1"/>
          <w:sz w:val="28"/>
          <w:szCs w:val="28"/>
        </w:rPr>
        <w:t>secundae</w:t>
      </w:r>
      <w:proofErr w:type="spellEnd"/>
      <w:r w:rsidRPr="004D03F7">
        <w:rPr>
          <w:color w:val="000000" w:themeColor="text1"/>
          <w:sz w:val="28"/>
          <w:szCs w:val="28"/>
        </w:rPr>
        <w:t>» (см. ниже раздел «Структура»). Первое полное издание увидело свет в</w:t>
      </w:r>
      <w:r w:rsidRPr="004D03F7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1485 год" w:history="1">
        <w:r w:rsidRPr="004D03F7">
          <w:rPr>
            <w:rStyle w:val="a4"/>
            <w:color w:val="000000" w:themeColor="text1"/>
            <w:sz w:val="28"/>
            <w:szCs w:val="28"/>
            <w:u w:val="none"/>
          </w:rPr>
          <w:t>1485 году</w:t>
        </w:r>
      </w:hyperlink>
      <w:r w:rsidRPr="004D03F7">
        <w:rPr>
          <w:rStyle w:val="apple-converted-space"/>
          <w:color w:val="000000" w:themeColor="text1"/>
          <w:sz w:val="28"/>
          <w:szCs w:val="28"/>
        </w:rPr>
        <w:t> </w:t>
      </w:r>
      <w:r w:rsidRPr="004D03F7">
        <w:rPr>
          <w:color w:val="000000" w:themeColor="text1"/>
          <w:sz w:val="28"/>
          <w:szCs w:val="28"/>
        </w:rPr>
        <w:t>в</w:t>
      </w:r>
      <w:r w:rsidRPr="004D03F7"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Базель" w:history="1">
        <w:r w:rsidRPr="004D03F7">
          <w:rPr>
            <w:rStyle w:val="a4"/>
            <w:color w:val="000000" w:themeColor="text1"/>
            <w:sz w:val="28"/>
            <w:szCs w:val="28"/>
            <w:u w:val="none"/>
          </w:rPr>
          <w:t>Базеле</w:t>
        </w:r>
      </w:hyperlink>
      <w:r w:rsidRPr="004D03F7">
        <w:rPr>
          <w:color w:val="000000" w:themeColor="text1"/>
          <w:sz w:val="28"/>
          <w:szCs w:val="28"/>
        </w:rPr>
        <w:t>.</w:t>
      </w:r>
    </w:p>
    <w:p w:rsidR="008F1D99" w:rsidRPr="004D03F7" w:rsidRDefault="008F1D99" w:rsidP="008F1D99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4D03F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Вся «Сумма» состоит из трех частей:</w:t>
      </w:r>
    </w:p>
    <w:p w:rsidR="008F1D99" w:rsidRPr="004D03F7" w:rsidRDefault="008F1D99" w:rsidP="008F1D99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4D03F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I часть посвящена Богу и Его актам, или, как сказал сам </w:t>
      </w:r>
      <w:proofErr w:type="spellStart"/>
      <w:r w:rsidRPr="004D03F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Аквинат</w:t>
      </w:r>
      <w:proofErr w:type="spellEnd"/>
      <w:r w:rsidRPr="004D03F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 «о Первообразе»: священное учение, атрибуты и имена Бога, отношение лиц Троицы. Здесь Фома излагает свои знаменитые «5 доказательств бытия Бога»: от начала движения, от причины, от необходимости, от совершенства, от целесообразности.</w:t>
      </w:r>
    </w:p>
    <w:p w:rsidR="008F1D99" w:rsidRPr="004D03F7" w:rsidRDefault="008F1D99" w:rsidP="008F1D99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4D03F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II часть посвящена «Его подобию», то есть человеку, поднимаются вопросы этики, а именно тема </w:t>
      </w:r>
      <w:hyperlink r:id="rId11" w:tooltip="Счастье" w:history="1">
        <w:r w:rsidRPr="004D03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счастья</w:t>
        </w:r>
      </w:hyperlink>
      <w:r w:rsidRPr="004D03F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2" w:tooltip="Свобода воли" w:history="1">
        <w:r w:rsidRPr="004D03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воли</w:t>
        </w:r>
      </w:hyperlink>
      <w:r w:rsidRPr="004D03F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3" w:tooltip="Страсть (чувство)" w:history="1">
        <w:r w:rsidRPr="004D03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страстей</w:t>
        </w:r>
      </w:hyperlink>
    </w:p>
    <w:p w:rsidR="008F1D99" w:rsidRPr="004D03F7" w:rsidRDefault="008F1D99" w:rsidP="008F1D99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4D03F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III часть посвящена Спасителю и путям спасения.</w:t>
      </w:r>
    </w:p>
    <w:p w:rsidR="008F1D99" w:rsidRPr="008F1D99" w:rsidRDefault="008F1D99" w:rsidP="008F1D99">
      <w:pPr>
        <w:pStyle w:val="a3"/>
        <w:shd w:val="clear" w:color="auto" w:fill="FFFFFF"/>
        <w:spacing w:before="120" w:beforeAutospacing="0" w:after="120" w:afterAutospacing="0" w:line="360" w:lineRule="auto"/>
        <w:ind w:firstLine="708"/>
        <w:rPr>
          <w:color w:val="000000" w:themeColor="text1"/>
          <w:sz w:val="28"/>
          <w:szCs w:val="28"/>
        </w:rPr>
      </w:pPr>
    </w:p>
    <w:bookmarkEnd w:id="0"/>
    <w:p w:rsidR="005D1ED6" w:rsidRDefault="005D1ED6"/>
    <w:sectPr w:rsidR="005D1ED6" w:rsidSect="005D1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E7C14"/>
    <w:multiLevelType w:val="multilevel"/>
    <w:tmpl w:val="AD9A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1F29"/>
    <w:rsid w:val="004D03F7"/>
    <w:rsid w:val="004E736D"/>
    <w:rsid w:val="005D1ED6"/>
    <w:rsid w:val="006F0205"/>
    <w:rsid w:val="008F1D99"/>
    <w:rsid w:val="00CB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62A16-7D8D-4885-92FF-36D50F8C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1F29"/>
  </w:style>
  <w:style w:type="character" w:styleId="a4">
    <w:name w:val="Hyperlink"/>
    <w:basedOn w:val="a0"/>
    <w:uiPriority w:val="99"/>
    <w:semiHidden/>
    <w:unhideWhenUsed/>
    <w:rsid w:val="00CB1F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0%B9%D0%BD%D1%86" TargetMode="External"/><Relationship Id="rId13" Type="http://schemas.openxmlformats.org/officeDocument/2006/relationships/hyperlink" Target="https://ru.wikipedia.org/wiki/%D0%A1%D1%82%D1%80%D0%B0%D1%81%D1%82%D1%8C_(%D1%87%D1%83%D0%B2%D1%81%D1%82%D0%B2%D0%BE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467_%D0%B3%D0%BE%D0%B4" TargetMode="External"/><Relationship Id="rId12" Type="http://schemas.openxmlformats.org/officeDocument/2006/relationships/hyperlink" Target="https://ru.wikipedia.org/wiki/%D0%A1%D0%B2%D0%BE%D0%B1%D0%BE%D0%B4%D0%B0_%D0%B2%D0%BE%D0%BB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1%80%D0%B8%D1%81%D1%82%D0%BE%D1%82%D0%B5%D0%BB%D1%8C" TargetMode="External"/><Relationship Id="rId11" Type="http://schemas.openxmlformats.org/officeDocument/2006/relationships/hyperlink" Target="https://ru.wikipedia.org/wiki/%D0%A1%D1%87%D0%B0%D1%81%D1%82%D1%8C%D0%B5" TargetMode="External"/><Relationship Id="rId5" Type="http://schemas.openxmlformats.org/officeDocument/2006/relationships/hyperlink" Target="https://ru.wikipedia.org/wiki/%D0%90%D0%B2%D0%B3%D1%83%D1%81%D1%82%D0%B8%D0%BD_%D0%91%D0%BB%D0%B0%D0%B6%D0%B5%D0%BD%D0%BD%D1%8B%D0%B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1%D0%B0%D0%B7%D0%B5%D0%BB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485_%D0%B3%D0%BE%D0%B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nkolesnikova</cp:lastModifiedBy>
  <cp:revision>5</cp:revision>
  <dcterms:created xsi:type="dcterms:W3CDTF">2015-04-15T13:11:00Z</dcterms:created>
  <dcterms:modified xsi:type="dcterms:W3CDTF">2016-01-13T10:36:00Z</dcterms:modified>
</cp:coreProperties>
</file>